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23C" w14:textId="4C90E4EE" w:rsidR="00347060" w:rsidRPr="00FA68B5" w:rsidRDefault="00FA68B5" w:rsidP="000A5A10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A68B5">
        <w:rPr>
          <w:rFonts w:ascii="Century Gothic" w:hAnsi="Century Gothic" w:cs="Times New Roman"/>
          <w:sz w:val="20"/>
          <w:szCs w:val="20"/>
        </w:rPr>
        <w:t xml:space="preserve">COMPARATIVE EVALUATION OF PATHOGENICITY, CYTOTOXICITY AT THE BLOOD-BRAIN BARRIER, AND ANTIBIOTIC SUSCEPTIBILITY PROFILES IN </w:t>
      </w:r>
      <w:r w:rsidRPr="00FA68B5">
        <w:rPr>
          <w:rFonts w:ascii="Century Gothic" w:hAnsi="Century Gothic" w:cs="Times New Roman"/>
          <w:i/>
          <w:iCs/>
          <w:sz w:val="20"/>
          <w:szCs w:val="20"/>
        </w:rPr>
        <w:t>LISTERIA MONOCYTOGENES</w:t>
      </w:r>
      <w:r w:rsidRPr="00FA68B5">
        <w:rPr>
          <w:rFonts w:ascii="Century Gothic" w:hAnsi="Century Gothic" w:cs="Times New Roman"/>
          <w:sz w:val="20"/>
          <w:szCs w:val="20"/>
        </w:rPr>
        <w:t xml:space="preserve"> FROM FOOD AND CLINICAL SOURCES.  </w:t>
      </w:r>
      <w:r w:rsidRPr="00FA68B5">
        <w:rPr>
          <w:rFonts w:ascii="Century Gothic" w:hAnsi="Century Gothic" w:cs="Times New Roman"/>
          <w:sz w:val="20"/>
          <w:szCs w:val="20"/>
          <w:u w:val="single"/>
        </w:rPr>
        <w:t>Victoria A. Felton</w:t>
      </w:r>
      <w:r w:rsidRPr="00FA68B5">
        <w:rPr>
          <w:rFonts w:ascii="Century Gothic" w:hAnsi="Century Gothic" w:cs="Times New Roman"/>
          <w:sz w:val="20"/>
          <w:szCs w:val="20"/>
          <w:vertAlign w:val="superscript"/>
        </w:rPr>
        <w:t>1</w:t>
      </w:r>
      <w:r w:rsidRPr="00FA68B5">
        <w:rPr>
          <w:rFonts w:ascii="Century Gothic" w:hAnsi="Century Gothic" w:cs="Times New Roman"/>
          <w:sz w:val="20"/>
          <w:szCs w:val="20"/>
        </w:rPr>
        <w:t>, Hannah Keating</w:t>
      </w:r>
      <w:r w:rsidRPr="00FA68B5">
        <w:rPr>
          <w:rFonts w:ascii="Century Gothic" w:hAnsi="Century Gothic" w:cs="Times New Roman"/>
          <w:sz w:val="20"/>
          <w:szCs w:val="20"/>
          <w:vertAlign w:val="superscript"/>
        </w:rPr>
        <w:t>2</w:t>
      </w:r>
      <w:r w:rsidRPr="00FA68B5">
        <w:rPr>
          <w:rFonts w:ascii="Century Gothic" w:hAnsi="Century Gothic" w:cs="Times New Roman"/>
          <w:sz w:val="20"/>
          <w:szCs w:val="20"/>
        </w:rPr>
        <w:t xml:space="preserve">, </w:t>
      </w:r>
      <w:r w:rsidR="004410B9">
        <w:rPr>
          <w:rFonts w:ascii="Century Gothic" w:hAnsi="Century Gothic" w:cs="Times New Roman"/>
          <w:sz w:val="20"/>
          <w:szCs w:val="20"/>
        </w:rPr>
        <w:t>&amp;</w:t>
      </w:r>
      <w:r w:rsidRPr="00FA68B5">
        <w:rPr>
          <w:rFonts w:ascii="Century Gothic" w:hAnsi="Century Gothic" w:cs="Times New Roman"/>
          <w:sz w:val="20"/>
          <w:szCs w:val="20"/>
        </w:rPr>
        <w:t xml:space="preserve"> </w:t>
      </w:r>
      <w:r w:rsidR="00347060" w:rsidRPr="00FA68B5">
        <w:rPr>
          <w:rFonts w:ascii="Century Gothic" w:hAnsi="Century Gothic" w:cs="Times New Roman"/>
          <w:sz w:val="20"/>
          <w:szCs w:val="20"/>
        </w:rPr>
        <w:t>Rishi Drolia</w:t>
      </w:r>
      <w:r w:rsidRPr="00FA68B5">
        <w:rPr>
          <w:rFonts w:ascii="Century Gothic" w:hAnsi="Century Gothic" w:cs="Times New Roman"/>
          <w:sz w:val="20"/>
          <w:szCs w:val="20"/>
          <w:vertAlign w:val="superscript"/>
        </w:rPr>
        <w:t>1,2</w:t>
      </w:r>
      <w:r w:rsidRPr="00FA68B5">
        <w:rPr>
          <w:rFonts w:ascii="Century Gothic" w:hAnsi="Century Gothic" w:cs="Times New Roman"/>
          <w:sz w:val="20"/>
          <w:szCs w:val="20"/>
        </w:rPr>
        <w:t xml:space="preserve">, </w:t>
      </w:r>
      <w:r w:rsidRPr="00FA68B5">
        <w:rPr>
          <w:rFonts w:ascii="Century Gothic" w:hAnsi="Century Gothic" w:cs="Times New Roman"/>
          <w:sz w:val="20"/>
          <w:szCs w:val="20"/>
          <w:vertAlign w:val="superscript"/>
        </w:rPr>
        <w:t>1</w:t>
      </w:r>
      <w:r w:rsidRPr="00FA68B5">
        <w:rPr>
          <w:rFonts w:ascii="Century Gothic" w:hAnsi="Century Gothic" w:cs="Times New Roman"/>
          <w:sz w:val="20"/>
          <w:szCs w:val="20"/>
        </w:rPr>
        <w:t>Old Dominion University</w:t>
      </w:r>
      <w:r w:rsidR="00A57203">
        <w:rPr>
          <w:rFonts w:ascii="Century Gothic" w:hAnsi="Century Gothic" w:cs="Times New Roman"/>
          <w:sz w:val="20"/>
          <w:szCs w:val="20"/>
        </w:rPr>
        <w:t xml:space="preserve">, </w:t>
      </w:r>
      <w:r w:rsidR="00347060" w:rsidRPr="00FA68B5">
        <w:rPr>
          <w:rFonts w:ascii="Century Gothic" w:hAnsi="Century Gothic" w:cs="Times New Roman"/>
          <w:sz w:val="20"/>
          <w:szCs w:val="20"/>
        </w:rPr>
        <w:t xml:space="preserve">Dept. of Biological Sciences, </w:t>
      </w:r>
      <w:r w:rsidRPr="00FA68B5">
        <w:rPr>
          <w:rFonts w:ascii="Century Gothic" w:hAnsi="Century Gothic" w:cs="Times New Roman"/>
          <w:sz w:val="20"/>
          <w:szCs w:val="20"/>
          <w:vertAlign w:val="superscript"/>
        </w:rPr>
        <w:t xml:space="preserve">2 </w:t>
      </w:r>
      <w:r w:rsidR="00347060" w:rsidRPr="00FA68B5">
        <w:rPr>
          <w:rFonts w:ascii="Century Gothic" w:hAnsi="Century Gothic" w:cs="Times New Roman"/>
          <w:sz w:val="20"/>
          <w:szCs w:val="20"/>
        </w:rPr>
        <w:t>Eastern Kentucky University</w:t>
      </w:r>
      <w:r w:rsidR="00A57203">
        <w:rPr>
          <w:rFonts w:ascii="Century Gothic" w:hAnsi="Century Gothic" w:cs="Times New Roman"/>
          <w:sz w:val="20"/>
          <w:szCs w:val="20"/>
        </w:rPr>
        <w:t xml:space="preserve">, </w:t>
      </w:r>
      <w:r w:rsidRPr="00FA68B5">
        <w:rPr>
          <w:rFonts w:ascii="Century Gothic" w:hAnsi="Century Gothic" w:cs="Times New Roman"/>
          <w:sz w:val="20"/>
          <w:szCs w:val="20"/>
        </w:rPr>
        <w:t>Dept. of Biological Sciences</w:t>
      </w:r>
      <w:r w:rsidR="00C8162E">
        <w:rPr>
          <w:rFonts w:ascii="Century Gothic" w:hAnsi="Century Gothic" w:cs="Times New Roman"/>
          <w:sz w:val="20"/>
          <w:szCs w:val="20"/>
        </w:rPr>
        <w:t xml:space="preserve">.  </w:t>
      </w:r>
      <w:r w:rsidR="00347060" w:rsidRPr="00FA68B5">
        <w:rPr>
          <w:rFonts w:ascii="Century Gothic" w:hAnsi="Century Gothic" w:cs="Times New Roman"/>
          <w:i/>
          <w:iCs/>
          <w:sz w:val="20"/>
          <w:szCs w:val="20"/>
        </w:rPr>
        <w:t>Listeria monocytogenes</w:t>
      </w:r>
      <w:r w:rsidR="00347060" w:rsidRPr="00FA68B5">
        <w:rPr>
          <w:rFonts w:ascii="Century Gothic" w:hAnsi="Century Gothic" w:cs="Times New Roman"/>
          <w:sz w:val="20"/>
          <w:szCs w:val="20"/>
        </w:rPr>
        <w:t xml:space="preserve"> (</w:t>
      </w:r>
      <w:proofErr w:type="spellStart"/>
      <w:r w:rsidR="00347060" w:rsidRPr="00FA68B5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347060" w:rsidRPr="00FA68B5">
        <w:rPr>
          <w:rFonts w:ascii="Century Gothic" w:hAnsi="Century Gothic" w:cs="Times New Roman"/>
          <w:sz w:val="20"/>
          <w:szCs w:val="20"/>
        </w:rPr>
        <w:t xml:space="preserve">) is a model facultative intracellular and opportunistic foodborne pathogen. In high-risk populations, neonates, the aged, and immunocompromised individuals, </w:t>
      </w:r>
      <w:proofErr w:type="spellStart"/>
      <w:r w:rsidR="00E523AC" w:rsidRPr="00FA68B5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E523AC" w:rsidRPr="00FA68B5">
        <w:rPr>
          <w:rFonts w:ascii="Century Gothic" w:hAnsi="Century Gothic" w:cs="Times New Roman"/>
          <w:sz w:val="20"/>
          <w:szCs w:val="20"/>
        </w:rPr>
        <w:t xml:space="preserve"> causes</w:t>
      </w:r>
      <w:r w:rsidR="00347060" w:rsidRPr="00FA68B5">
        <w:rPr>
          <w:rFonts w:ascii="Century Gothic" w:hAnsi="Century Gothic" w:cs="Times New Roman"/>
          <w:sz w:val="20"/>
          <w:szCs w:val="20"/>
        </w:rPr>
        <w:t xml:space="preserve"> meningitis, encephalitis, liver abscessation</w:t>
      </w:r>
      <w:r w:rsidR="00E523AC" w:rsidRPr="00FA68B5">
        <w:rPr>
          <w:rFonts w:ascii="Century Gothic" w:hAnsi="Century Gothic" w:cs="Times New Roman"/>
          <w:sz w:val="20"/>
          <w:szCs w:val="20"/>
        </w:rPr>
        <w:t>,</w:t>
      </w:r>
      <w:r w:rsidR="00347060" w:rsidRPr="00FA68B5">
        <w:rPr>
          <w:rFonts w:ascii="Century Gothic" w:hAnsi="Century Gothic" w:cs="Times New Roman"/>
          <w:sz w:val="20"/>
          <w:szCs w:val="20"/>
        </w:rPr>
        <w:t xml:space="preserve"> and abortion in pregnant women</w:t>
      </w:r>
      <w:r w:rsidR="00E523AC" w:rsidRPr="00FA68B5">
        <w:rPr>
          <w:rFonts w:ascii="Century Gothic" w:hAnsi="Century Gothic" w:cs="Times New Roman"/>
          <w:sz w:val="20"/>
          <w:szCs w:val="20"/>
        </w:rPr>
        <w:t>,</w:t>
      </w:r>
      <w:r w:rsidR="00347060" w:rsidRPr="00FA68B5">
        <w:rPr>
          <w:rFonts w:ascii="Century Gothic" w:hAnsi="Century Gothic" w:cs="Times New Roman"/>
          <w:sz w:val="20"/>
          <w:szCs w:val="20"/>
        </w:rPr>
        <w:t xml:space="preserve"> with a case fatality rate of 20%–30%. </w:t>
      </w:r>
      <w:proofErr w:type="spellStart"/>
      <w:r w:rsidR="00347060" w:rsidRPr="00FA68B5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347060" w:rsidRPr="00FA68B5">
        <w:rPr>
          <w:rFonts w:ascii="Century Gothic" w:hAnsi="Century Gothic" w:cs="Times New Roman"/>
          <w:sz w:val="20"/>
          <w:szCs w:val="20"/>
        </w:rPr>
        <w:t xml:space="preserve"> breaches the blood-brain barrier (BBB) to translocate into the brain parenchyma; however, the precise pathogenic mechanism of </w:t>
      </w:r>
      <w:proofErr w:type="spellStart"/>
      <w:r w:rsidR="00347060" w:rsidRPr="00FA68B5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347060" w:rsidRPr="00FA68B5">
        <w:rPr>
          <w:rFonts w:ascii="Century Gothic" w:hAnsi="Century Gothic" w:cs="Times New Roman"/>
          <w:sz w:val="20"/>
          <w:szCs w:val="20"/>
        </w:rPr>
        <w:t xml:space="preserve"> translocation across the BBB is poorly understood. This study aimed to perform a comparative analysis of the pathogenicity of various food-origin-isolated and patient clinical-isolated </w:t>
      </w:r>
      <w:proofErr w:type="spellStart"/>
      <w:r w:rsidR="00347060" w:rsidRPr="00FA68B5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347060" w:rsidRPr="00FA68B5">
        <w:rPr>
          <w:rFonts w:ascii="Century Gothic" w:hAnsi="Century Gothic" w:cs="Times New Roman"/>
          <w:sz w:val="20"/>
          <w:szCs w:val="20"/>
        </w:rPr>
        <w:t xml:space="preserve"> strains to invade the BBB</w:t>
      </w:r>
      <w:r w:rsidR="006E5DC4">
        <w:rPr>
          <w:rFonts w:ascii="Century Gothic" w:hAnsi="Century Gothic" w:cs="Times New Roman"/>
          <w:sz w:val="20"/>
          <w:szCs w:val="20"/>
        </w:rPr>
        <w:t xml:space="preserve"> (total 37 strains)</w:t>
      </w:r>
      <w:r w:rsidR="00347060" w:rsidRPr="00FA68B5">
        <w:rPr>
          <w:rFonts w:ascii="Century Gothic" w:hAnsi="Century Gothic" w:cs="Times New Roman"/>
          <w:sz w:val="20"/>
          <w:szCs w:val="20"/>
        </w:rPr>
        <w:t>. A series of tests evaluated each strain's ability to adhere, invade, and translocate across the human brain endothelial cell</w:t>
      </w:r>
      <w:r w:rsidR="00C8162E">
        <w:rPr>
          <w:rFonts w:ascii="Century Gothic" w:hAnsi="Century Gothic" w:cs="Times New Roman"/>
          <w:sz w:val="20"/>
          <w:szCs w:val="20"/>
        </w:rPr>
        <w:t xml:space="preserve"> (HBEC)-5i</w:t>
      </w:r>
      <w:r w:rsidR="00347060" w:rsidRPr="00FA68B5">
        <w:rPr>
          <w:rFonts w:ascii="Century Gothic" w:hAnsi="Century Gothic" w:cs="Times New Roman"/>
          <w:sz w:val="20"/>
          <w:szCs w:val="20"/>
        </w:rPr>
        <w:t xml:space="preserve"> barrier via adhesion, invasion, and translocating screening efficiency assays. In addition, HBEC-5i cytotoxicity was measured via the quantification of host cell lactate dehydrogenase (LDH) release</w:t>
      </w:r>
      <w:r w:rsidR="00E523AC" w:rsidRPr="00FA68B5">
        <w:rPr>
          <w:rFonts w:ascii="Century Gothic" w:hAnsi="Century Gothic" w:cs="Times New Roman"/>
          <w:sz w:val="20"/>
          <w:szCs w:val="20"/>
        </w:rPr>
        <w:t>, and Kirby-Bauer antibiotic susceptibility was evaluated</w:t>
      </w:r>
      <w:r w:rsidR="00347060" w:rsidRPr="00FA68B5">
        <w:rPr>
          <w:rFonts w:ascii="Century Gothic" w:hAnsi="Century Gothic" w:cs="Times New Roman"/>
          <w:sz w:val="20"/>
          <w:szCs w:val="20"/>
        </w:rPr>
        <w:t xml:space="preserve">. There is no significant difference in adhesion % in food versus clinical-isolated strains. </w:t>
      </w:r>
      <w:r w:rsidR="00347060" w:rsidRPr="00FA68B5">
        <w:rPr>
          <w:rFonts w:ascii="Century Gothic" w:hAnsi="Century Gothic" w:cs="Times New Roman"/>
          <w:sz w:val="20"/>
          <w:szCs w:val="20"/>
        </w:rPr>
        <w:lastRenderedPageBreak/>
        <w:t xml:space="preserve">However, clinical strains 19115, 171, and CAP D-05 displayed the highest adhesion percentages, reporting ~26-27%. Similarly, the clinical </w:t>
      </w:r>
      <w:proofErr w:type="spellStart"/>
      <w:r w:rsidR="00347060" w:rsidRPr="00FA68B5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347060" w:rsidRPr="00FA68B5">
        <w:rPr>
          <w:rFonts w:ascii="Century Gothic" w:hAnsi="Century Gothic" w:cs="Times New Roman"/>
          <w:sz w:val="20"/>
          <w:szCs w:val="20"/>
        </w:rPr>
        <w:t xml:space="preserve"> strains</w:t>
      </w:r>
      <w:r w:rsidR="00C60E15">
        <w:rPr>
          <w:rFonts w:ascii="Century Gothic" w:hAnsi="Century Gothic" w:cs="Times New Roman"/>
          <w:sz w:val="20"/>
          <w:szCs w:val="20"/>
        </w:rPr>
        <w:t xml:space="preserve"> better</w:t>
      </w:r>
      <w:r w:rsidR="00347060" w:rsidRPr="00FA68B5">
        <w:rPr>
          <w:rFonts w:ascii="Century Gothic" w:hAnsi="Century Gothic" w:cs="Times New Roman"/>
          <w:sz w:val="20"/>
          <w:szCs w:val="20"/>
        </w:rPr>
        <w:t xml:space="preserve"> invaded HBEC-5i strains F4264 and F4262, presenting ~0.50 and 0.19% invasion capacities, respectively. Clinical</w:t>
      </w:r>
      <w:r w:rsidR="00347060" w:rsidRPr="00FA68B5">
        <w:rPr>
          <w:rFonts w:ascii="Century Gothic" w:hAnsi="Century Gothic" w:cs="Times New Roman"/>
          <w:i/>
          <w:iCs/>
          <w:sz w:val="20"/>
          <w:szCs w:val="20"/>
        </w:rPr>
        <w:t xml:space="preserve"> </w:t>
      </w:r>
      <w:proofErr w:type="spellStart"/>
      <w:r w:rsidR="00347060" w:rsidRPr="00FA68B5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347060" w:rsidRPr="00FA68B5">
        <w:rPr>
          <w:rFonts w:ascii="Century Gothic" w:hAnsi="Century Gothic" w:cs="Times New Roman"/>
          <w:sz w:val="20"/>
          <w:szCs w:val="20"/>
        </w:rPr>
        <w:t xml:space="preserve"> strains also transmigrated through endothelial barriers better compared to food product-based isolates, with 171 and T543 reporting the highest translocation abilities (22 &amp; 21%, respectively). The clinical </w:t>
      </w:r>
      <w:proofErr w:type="spellStart"/>
      <w:r w:rsidR="00347060" w:rsidRPr="00FA68B5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347060" w:rsidRPr="00FA68B5">
        <w:rPr>
          <w:rFonts w:ascii="Century Gothic" w:hAnsi="Century Gothic" w:cs="Times New Roman"/>
          <w:sz w:val="20"/>
          <w:szCs w:val="20"/>
        </w:rPr>
        <w:t xml:space="preserve"> isolates19115 and CHLR1 induced the most cytotoxic effects on the HBEC-5i barrier (42 &amp; 41%). Kirby-Bauer antibiotic susceptibility data showed that </w:t>
      </w:r>
      <w:r w:rsidR="006E5DC4">
        <w:rPr>
          <w:rFonts w:ascii="Century Gothic" w:hAnsi="Century Gothic" w:cs="Times New Roman"/>
          <w:sz w:val="20"/>
          <w:szCs w:val="20"/>
        </w:rPr>
        <w:t xml:space="preserve">food and clinical </w:t>
      </w:r>
      <w:proofErr w:type="spellStart"/>
      <w:r w:rsidR="006E5DC4" w:rsidRPr="006E5DC4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6E5DC4" w:rsidRPr="006E5DC4">
        <w:rPr>
          <w:rFonts w:ascii="Century Gothic" w:hAnsi="Century Gothic" w:cs="Times New Roman"/>
          <w:i/>
          <w:iCs/>
          <w:sz w:val="20"/>
          <w:szCs w:val="20"/>
        </w:rPr>
        <w:t xml:space="preserve"> </w:t>
      </w:r>
      <w:r w:rsidR="006E5DC4" w:rsidRPr="006E5DC4">
        <w:rPr>
          <w:rFonts w:ascii="Century Gothic" w:hAnsi="Century Gothic" w:cs="Times New Roman"/>
          <w:sz w:val="20"/>
          <w:szCs w:val="20"/>
        </w:rPr>
        <w:t xml:space="preserve">strains were most sensitive to </w:t>
      </w:r>
      <w:r w:rsidR="00347060" w:rsidRPr="00FA68B5">
        <w:rPr>
          <w:rFonts w:ascii="Century Gothic" w:hAnsi="Century Gothic" w:cs="Times New Roman"/>
          <w:sz w:val="20"/>
          <w:szCs w:val="20"/>
        </w:rPr>
        <w:t xml:space="preserve">Penicillin, Ampicillin, and </w:t>
      </w:r>
      <w:r w:rsidR="006E5DC4">
        <w:rPr>
          <w:rFonts w:ascii="Century Gothic" w:hAnsi="Century Gothic" w:cs="Times New Roman"/>
          <w:sz w:val="20"/>
          <w:szCs w:val="20"/>
        </w:rPr>
        <w:t>vancomycin, whereas they were most resistant to Oxacillin and Cefotaxime</w:t>
      </w:r>
      <w:r w:rsidR="00E523AC" w:rsidRPr="00FA68B5">
        <w:rPr>
          <w:rFonts w:ascii="Century Gothic" w:hAnsi="Century Gothic" w:cs="Times New Roman"/>
          <w:sz w:val="20"/>
          <w:szCs w:val="20"/>
        </w:rPr>
        <w:t xml:space="preserve">. These data suggest that clinical </w:t>
      </w:r>
      <w:proofErr w:type="spellStart"/>
      <w:r w:rsidR="00E523AC" w:rsidRPr="006E5DC4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E523AC" w:rsidRPr="00FA68B5">
        <w:rPr>
          <w:rFonts w:ascii="Century Gothic" w:hAnsi="Century Gothic" w:cs="Times New Roman"/>
          <w:sz w:val="20"/>
          <w:szCs w:val="20"/>
        </w:rPr>
        <w:t xml:space="preserve"> isolates possess hypervirulent traits that allow them to translocate across the BBB efficiently. Future studies will evaluate the expression levels of </w:t>
      </w:r>
      <w:r w:rsidR="00E523AC" w:rsidRPr="006E5DC4">
        <w:rPr>
          <w:rFonts w:ascii="Century Gothic" w:hAnsi="Century Gothic" w:cs="Times New Roman"/>
          <w:i/>
          <w:iCs/>
          <w:sz w:val="20"/>
          <w:szCs w:val="20"/>
        </w:rPr>
        <w:t>Listeria</w:t>
      </w:r>
      <w:r w:rsidR="00E523AC" w:rsidRPr="00FA68B5">
        <w:rPr>
          <w:rFonts w:ascii="Century Gothic" w:hAnsi="Century Gothic" w:cs="Times New Roman"/>
          <w:sz w:val="20"/>
          <w:szCs w:val="20"/>
        </w:rPr>
        <w:t>-associated virulence factors (</w:t>
      </w:r>
      <w:proofErr w:type="spellStart"/>
      <w:r w:rsidR="00E523AC" w:rsidRPr="00FA68B5">
        <w:rPr>
          <w:rFonts w:ascii="Century Gothic" w:hAnsi="Century Gothic" w:cs="Times New Roman"/>
          <w:sz w:val="20"/>
          <w:szCs w:val="20"/>
        </w:rPr>
        <w:t>InlA</w:t>
      </w:r>
      <w:proofErr w:type="spellEnd"/>
      <w:r w:rsidR="00E523AC" w:rsidRPr="00FA68B5">
        <w:rPr>
          <w:rFonts w:ascii="Century Gothic" w:hAnsi="Century Gothic" w:cs="Times New Roman"/>
          <w:sz w:val="20"/>
          <w:szCs w:val="20"/>
        </w:rPr>
        <w:t xml:space="preserve">/B, LAP, P60) to understand the genetic differences between clinical hypervirulent and food </w:t>
      </w:r>
      <w:proofErr w:type="spellStart"/>
      <w:r w:rsidR="00E523AC" w:rsidRPr="00FA68B5">
        <w:rPr>
          <w:rFonts w:ascii="Century Gothic" w:hAnsi="Century Gothic" w:cs="Times New Roman"/>
          <w:sz w:val="20"/>
          <w:szCs w:val="20"/>
        </w:rPr>
        <w:t>hypovirulent</w:t>
      </w:r>
      <w:proofErr w:type="spellEnd"/>
      <w:r w:rsidR="00E523AC" w:rsidRPr="00FA68B5">
        <w:rPr>
          <w:rFonts w:ascii="Century Gothic" w:hAnsi="Century Gothic" w:cs="Times New Roman"/>
          <w:sz w:val="20"/>
          <w:szCs w:val="20"/>
        </w:rPr>
        <w:t xml:space="preserve"> isolates. This understanding is vital in combating the severe consequences of </w:t>
      </w:r>
      <w:proofErr w:type="spellStart"/>
      <w:r w:rsidR="00E523AC" w:rsidRPr="00FA68B5">
        <w:rPr>
          <w:rFonts w:ascii="Century Gothic" w:hAnsi="Century Gothic" w:cs="Times New Roman"/>
          <w:i/>
          <w:iCs/>
          <w:sz w:val="20"/>
          <w:szCs w:val="20"/>
        </w:rPr>
        <w:t>Lm</w:t>
      </w:r>
      <w:proofErr w:type="spellEnd"/>
      <w:r w:rsidR="00E523AC" w:rsidRPr="00FA68B5">
        <w:rPr>
          <w:rFonts w:ascii="Century Gothic" w:hAnsi="Century Gothic" w:cs="Times New Roman"/>
          <w:i/>
          <w:iCs/>
          <w:sz w:val="20"/>
          <w:szCs w:val="20"/>
        </w:rPr>
        <w:t xml:space="preserve"> </w:t>
      </w:r>
      <w:r w:rsidR="006E5DC4">
        <w:rPr>
          <w:rFonts w:ascii="Century Gothic" w:hAnsi="Century Gothic" w:cs="Times New Roman"/>
          <w:sz w:val="20"/>
          <w:szCs w:val="20"/>
        </w:rPr>
        <w:t xml:space="preserve">brain </w:t>
      </w:r>
      <w:r w:rsidR="00E523AC" w:rsidRPr="00FA68B5">
        <w:rPr>
          <w:rFonts w:ascii="Century Gothic" w:hAnsi="Century Gothic" w:cs="Times New Roman"/>
          <w:sz w:val="20"/>
          <w:szCs w:val="20"/>
        </w:rPr>
        <w:t>infection, including meningitis, encephalitis, and brain abscess.</w:t>
      </w:r>
      <w:r w:rsidRPr="00FA68B5">
        <w:rPr>
          <w:rFonts w:ascii="Century Gothic" w:hAnsi="Century Gothic" w:cs="Times New Roman"/>
          <w:sz w:val="20"/>
          <w:szCs w:val="20"/>
        </w:rPr>
        <w:t xml:space="preserve"> Author contact: </w:t>
      </w:r>
      <w:hyperlink r:id="rId7" w:history="1">
        <w:r w:rsidRPr="00FA68B5">
          <w:rPr>
            <w:rStyle w:val="Hyperlink"/>
            <w:rFonts w:ascii="Century Gothic" w:hAnsi="Century Gothic" w:cs="Times New Roman"/>
            <w:sz w:val="20"/>
            <w:szCs w:val="20"/>
          </w:rPr>
          <w:t>Vfelt001@odu.edu</w:t>
        </w:r>
      </w:hyperlink>
      <w:r w:rsidR="00C8162E">
        <w:rPr>
          <w:rFonts w:ascii="Century Gothic" w:hAnsi="Century Gothic" w:cs="Times New Roman"/>
          <w:sz w:val="20"/>
          <w:szCs w:val="20"/>
        </w:rPr>
        <w:t xml:space="preserve">. </w:t>
      </w:r>
      <w:r w:rsidR="00C8162E" w:rsidRPr="00C8162E">
        <w:rPr>
          <w:rFonts w:ascii="Century Gothic" w:hAnsi="Century Gothic" w:cs="Times New Roman"/>
          <w:sz w:val="20"/>
          <w:szCs w:val="20"/>
        </w:rPr>
        <w:t xml:space="preserve">The research was supported by funds from the KY-INBRE (part of award # P20GM103436-22 from the National Institute of General Medical </w:t>
      </w:r>
      <w:r w:rsidR="00C8162E" w:rsidRPr="00C8162E">
        <w:rPr>
          <w:rFonts w:ascii="Century Gothic" w:hAnsi="Century Gothic" w:cs="Times New Roman"/>
          <w:sz w:val="20"/>
          <w:szCs w:val="20"/>
        </w:rPr>
        <w:lastRenderedPageBreak/>
        <w:t>Sciences; R.D.), the start-up funds at EKU (R.D.) and ODU (R.D.), and USDA-NIFA (Award # 2023-67017-40051; R.D.).</w:t>
      </w:r>
    </w:p>
    <w:p w14:paraId="7F15517C" w14:textId="77777777" w:rsidR="00347060" w:rsidRPr="00347060" w:rsidRDefault="00347060" w:rsidP="000A5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47060" w:rsidRPr="00347060" w:rsidSect="000A5A10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60"/>
    <w:rsid w:val="00062AAA"/>
    <w:rsid w:val="000A5A10"/>
    <w:rsid w:val="0019671F"/>
    <w:rsid w:val="00280C12"/>
    <w:rsid w:val="00347060"/>
    <w:rsid w:val="004410B9"/>
    <w:rsid w:val="006E5DC4"/>
    <w:rsid w:val="007B5670"/>
    <w:rsid w:val="00A57203"/>
    <w:rsid w:val="00C60E15"/>
    <w:rsid w:val="00C8162E"/>
    <w:rsid w:val="00D37DD8"/>
    <w:rsid w:val="00E523AC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B8480"/>
  <w15:chartTrackingRefBased/>
  <w15:docId w15:val="{D98C43EB-EA98-4742-93C5-B2A40AD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8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olddominion-my.sharepoint.com/personal/rdrolia_odu_edu/Documents/Vfelt001@od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8C7038BAC244CBAC2C10FA1DE87FD" ma:contentTypeVersion="16" ma:contentTypeDescription="Create a new document." ma:contentTypeScope="" ma:versionID="dfcfad86ae8a0a826495883d98c106f1">
  <xsd:schema xmlns:xsd="http://www.w3.org/2001/XMLSchema" xmlns:xs="http://www.w3.org/2001/XMLSchema" xmlns:p="http://schemas.microsoft.com/office/2006/metadata/properties" xmlns:ns3="2f79a99f-5c8f-4e8a-859c-12372d40cb0b" xmlns:ns4="e16d96db-f132-41b1-89ee-84ef22dcaacd" targetNamespace="http://schemas.microsoft.com/office/2006/metadata/properties" ma:root="true" ma:fieldsID="0195f13226eb15a44b8e1081b456f9e6" ns3:_="" ns4:_="">
    <xsd:import namespace="2f79a99f-5c8f-4e8a-859c-12372d40cb0b"/>
    <xsd:import namespace="e16d96db-f132-41b1-89ee-84ef22dcaa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a99f-5c8f-4e8a-859c-12372d40c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d96db-f132-41b1-89ee-84ef22dca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79a99f-5c8f-4e8a-859c-12372d40cb0b" xsi:nil="true"/>
  </documentManagement>
</p:properties>
</file>

<file path=customXml/itemProps1.xml><?xml version="1.0" encoding="utf-8"?>
<ds:datastoreItem xmlns:ds="http://schemas.openxmlformats.org/officeDocument/2006/customXml" ds:itemID="{C5F5D460-DAD1-4B38-836E-23622FEB2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9a99f-5c8f-4e8a-859c-12372d40cb0b"/>
    <ds:schemaRef ds:uri="e16d96db-f132-41b1-89ee-84ef22dca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07C1B-15CB-4E2F-BD30-CCDE742EC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872FF-35D9-4A2F-87C6-754842F089E4}">
  <ds:schemaRefs>
    <ds:schemaRef ds:uri="http://schemas.microsoft.com/office/2006/metadata/properties"/>
    <ds:schemaRef ds:uri="http://schemas.microsoft.com/office/infopath/2007/PartnerControls"/>
    <ds:schemaRef ds:uri="2f79a99f-5c8f-4e8a-859c-12372d40c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Drolia, Rishi</dc:creator>
  <cp:keywords/>
  <dc:description/>
  <cp:lastModifiedBy>FELTON, TORI</cp:lastModifiedBy>
  <cp:revision>2</cp:revision>
  <dcterms:created xsi:type="dcterms:W3CDTF">2024-04-15T23:43:00Z</dcterms:created>
  <dcterms:modified xsi:type="dcterms:W3CDTF">2024-04-15T23:43:00Z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031cb460-fd28-4b3e-9db8-bebc2039612b</vt:lpwstr>
  </property>
  <property fmtid="{D5CDD505-2E9C-101B-9397-08002B2CF9AE}" pid="3" name="ContentTypeId">
    <vt:lpwstr>0x010100D448C7038BAC244CBAC2C10FA1DE87FD</vt:lpwstr>
  </property>
</Properties>
</file>